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51" w:rsidRDefault="00085551" w:rsidP="0008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IN THE UNITED STATES BANKRUPTCY COURT</w:t>
      </w: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MIDDLE DISTRICT OF ALABAMA</w:t>
      </w: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1208" w:rsidTr="007F1208">
        <w:trPr>
          <w:trHeight w:hRule="exact" w:val="288"/>
        </w:trPr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In re:</w:t>
            </w:r>
          </w:p>
        </w:tc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Case 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7F1208" w:rsidTr="007F1208">
        <w:trPr>
          <w:trHeight w:hRule="exact" w:val="288"/>
        </w:trPr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bookmarkStart w:id="0" w:name="_GoBack"/>
            <w:bookmarkEnd w:id="0"/>
          </w:p>
        </w:tc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</w:tr>
      <w:tr w:rsidR="007F1208" w:rsidTr="007F1208">
        <w:trPr>
          <w:trHeight w:hRule="exact" w:val="288"/>
        </w:trPr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Chapter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:</w:t>
            </w:r>
          </w:p>
        </w:tc>
      </w:tr>
      <w:tr w:rsidR="007F1208" w:rsidTr="007F1208">
        <w:trPr>
          <w:trHeight w:hRule="exact" w:val="288"/>
        </w:trPr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</w:tr>
      <w:tr w:rsidR="007F1208" w:rsidTr="007F1208">
        <w:trPr>
          <w:trHeight w:hRule="exact" w:val="288"/>
        </w:trPr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</w:tr>
      <w:tr w:rsidR="007F1208" w:rsidTr="007F1208">
        <w:trPr>
          <w:trHeight w:hRule="exact" w:val="288"/>
        </w:trPr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</w:tr>
      <w:tr w:rsidR="007F1208" w:rsidTr="007F1208">
        <w:trPr>
          <w:trHeight w:hRule="exact" w:val="288"/>
        </w:trPr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Debtor(s)</w:t>
            </w:r>
          </w:p>
        </w:tc>
        <w:tc>
          <w:tcPr>
            <w:tcW w:w="4675" w:type="dxa"/>
            <w:noWrap/>
          </w:tcPr>
          <w:p w:rsidR="007F1208" w:rsidRDefault="007F1208" w:rsidP="00085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085551" w:rsidRDefault="00085551" w:rsidP="0008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     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A0021F" w:rsidRDefault="00A0021F" w:rsidP="0008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4A24" wp14:editId="5F93422F">
                <wp:simplePos x="0" y="0"/>
                <wp:positionH relativeFrom="column">
                  <wp:posOffset>0</wp:posOffset>
                </wp:positionH>
                <wp:positionV relativeFrom="paragraph">
                  <wp:posOffset>78696</wp:posOffset>
                </wp:positionV>
                <wp:extent cx="5956814" cy="5286"/>
                <wp:effectExtent l="0" t="0" r="2540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814" cy="52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B0D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6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NdxgEAAMsDAAAOAAAAZHJzL2Uyb0RvYy54bWysU02P0zAQvSPxHyzfadJAqxI13UNXcEFQ&#10;sQt3r2M3FrbHGpt+/HvGThoQoD0gLpY9M+/NvJfJ9u7iLDspjAZ8x5eLmjPlJfTGHzv+5fHdqw1n&#10;MQnfCwtedfyqIr/bvXyxPYdWNTCA7RUyIvGxPYeODymFtqqiHJQTcQFBeUpqQCcSPfFY9SjOxO5s&#10;1dT1ujoD9gFBqhgpej8m+a7wa61k+qR1VInZjtNsqZxYzqd8VrutaI8owmDkNIb4hymcMJ6azlT3&#10;Ign2Hc0fVM5IhAg6LSS4CrQ2UhUNpGZZ/6bmYRBBFS1kTgyzTfH/0cqPpwMy03e84cwLR5/oIaEw&#10;xyGxPXhPBgKyJvt0DrGl8r0/4PSK4YBZ9EWjY9qa8JVWoNhAwtiluHydXVaXxCQFV29X683yDWeS&#10;cqtms87k1ciS2QLG9F6BY/nScWt89kC04vQhprH0VpLD1udYHm4cp9zS1aox+VlpkkdtXxeSslhq&#10;b5GdBK1E/205dbeeKjNEG2tnUP08aKrNMFWWbQY2zwPn6tIRfJqBznjAv4HT5TaqHutvqketWfYT&#10;9NfycYodtDHF12m780r++i7wn//g7gcAAAD//wMAUEsDBBQABgAIAAAAIQABaLRG2wAAAAYBAAAP&#10;AAAAZHJzL2Rvd25yZXYueG1sTI/BTsMwEETvSPyDtZW4UaduhUqIU1VQxKUcGvgAN97GUeN1FLtN&#10;+vcsJzjOzGrmbbGZfCeuOMQ2kIbFPAOBVAfbUqPh++v9cQ0iJkPWdIFQww0jbMr7u8LkNox0wGuV&#10;GsElFHOjwaXU51LG2qE3cR56JM5OYfAmsRwaaQczcrnvpMqyJ+lNS7zgTI+vDutzdfEaPtRqr9x2&#10;+Kzi220a034XdnTW+mE2bV9AJJzS3zH84jM6lMx0DBeyUXQa+JHErlqB4PR5uV6AOLKxVCDLQv7H&#10;L38AAAD//wMAUEsBAi0AFAAGAAgAAAAhALaDOJL+AAAA4QEAABMAAAAAAAAAAAAAAAAAAAAAAFtD&#10;b250ZW50X1R5cGVzXS54bWxQSwECLQAUAAYACAAAACEAOP0h/9YAAACUAQAACwAAAAAAAAAAAAAA&#10;AAAvAQAAX3JlbHMvLnJlbHNQSwECLQAUAAYACAAAACEAOb9TXcYBAADLAwAADgAAAAAAAAAAAAAA&#10;AAAuAgAAZHJzL2Uyb0RvYy54bWxQSwECLQAUAAYACAAAACEAAWi0RtsAAAAGAQAADwAAAAAAAAAA&#10;AAAAAAAg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PURSUANT TO LBR 9007-1, THIS MOTION WILL BE TAKEN UNDER ADVISEMENT BY THE COURT AND MAY BE GRANTED UNLESS A PARTY IN INTEREST FILES A RESPONSE WITHIN 21 DAYS OF </w:t>
      </w:r>
      <w:r w:rsidR="00D23A87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THE DATE OF 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SERVICE. RESPONSES MUST BE </w:t>
      </w:r>
      <w:r w:rsidR="00D23A87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FILED WITH THE CLERK AND 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SERVED UPON THE MOVING PARTY</w:t>
      </w:r>
      <w:r w:rsidR="00D23A87">
        <w:rPr>
          <w:rFonts w:ascii="Times New Roman" w:hAnsi="Times New Roman" w:cs="Times New Roman"/>
          <w:b/>
          <w:bCs/>
          <w:sz w:val="20"/>
          <w:szCs w:val="20"/>
          <w:lang w:val="en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="00D23A87">
        <w:rPr>
          <w:rFonts w:ascii="Times New Roman" w:hAnsi="Times New Roman" w:cs="Times New Roman"/>
          <w:b/>
          <w:bCs/>
          <w:sz w:val="20"/>
          <w:szCs w:val="20"/>
          <w:lang w:val="en"/>
        </w:rPr>
        <w:t>RESPONSES MUST BE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FILED ELECTRONICALLY WITH THE CLERK OR BY U.S. MAIL ADDRESSED TO THE CLERK</w:t>
      </w:r>
      <w:r w:rsidR="00D23A87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, ONE CHURCH STREET, MONTGOMERY 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ALABAMA  36104.</w:t>
      </w:r>
    </w:p>
    <w:p w:rsidR="00085551" w:rsidRDefault="00A0021F" w:rsidP="0008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7DAC8" wp14:editId="38D0FD4E">
                <wp:simplePos x="0" y="0"/>
                <wp:positionH relativeFrom="column">
                  <wp:posOffset>3810</wp:posOffset>
                </wp:positionH>
                <wp:positionV relativeFrom="paragraph">
                  <wp:posOffset>44656</wp:posOffset>
                </wp:positionV>
                <wp:extent cx="5956300" cy="5080"/>
                <wp:effectExtent l="0" t="0" r="2540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5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8888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5pt" to="469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VqyAEAAMsDAAAOAAAAZHJzL2Uyb0RvYy54bWysU8GO0zAQvSPxD5bvNGmrrpao6R66gguC&#10;imW5ex27sbA91tg06d8zdtqAAO1htRcrnpn3Zt7zZHs3OstOCqMB3/LlouZMeQmd8ceWP3778O6W&#10;s5iE74QFr1p+VpHf7d6+2Q6hUSvowXYKGZH42Ayh5X1KoamqKHvlRFxAUJ6SGtCJRFc8Vh2Kgdid&#10;rVZ1fVMNgF1AkCpGit5PSb4r/Formb5oHVVituU0WyonlvMpn9VuK5ojitAbeRlDvGAKJ4ynpjPV&#10;vUiC/UTzD5UzEiGCTgsJrgKtjVRFA6lZ1n+peehFUEULmRPDbFN8PVr5+XRAZrqWrznzwtETPSQU&#10;5tgntgfvyUBAts4+DSE2VL73B7zcYjhgFj1qdExbE77TChQbSBgbi8vn2WU1JiYpuHm/uVnX9BiS&#10;cpv6tjxCNbFktoAxfVTgWP5ouTU+eyAacfoUE3Wm0mtJDlufY3m4aZzylc5WTcmvSpM8arsuJGWx&#10;1N4iOwlaie7HMksjSuupMkO0sXYG1c+DLrUZpsqyzcDV88C5unQEn2agMx7wf+A0XkfVU/1V9aQ1&#10;y36C7lwep9hBG1OUXbY7r+Sf9wL//Q/ufgEAAP//AwBQSwMEFAAGAAgAAAAhACs8JvrYAAAABAEA&#10;AA8AAABkcnMvZG93bnJldi54bWxMj0FOwzAQRfdI3MEaJHbUIVQlhDhVBUVsyoLAAdx4iKPG48h2&#10;m/T2HVawfPpff95U69kN4oQh9p4U3C8yEEitNz11Cr6/3u4KEDFpMnrwhArOGGFdX19VujR+ok88&#10;NakTPEKx1ApsSmMpZWwtOh0XfkTi7McHpxNj6KQJeuJxN8g8y1bS6Z74gtUjvlhsD83RKXjPl7vc&#10;bsJHE1/P85R2W7+lg1K3N/PmGUTCOf2V4Vef1aFmp70/koliULDinoJH/ofDp4eCec9cgKwr+V++&#10;vgAAAP//AwBQSwECLQAUAAYACAAAACEAtoM4kv4AAADhAQAAEwAAAAAAAAAAAAAAAAAAAAAAW0Nv&#10;bnRlbnRfVHlwZXNdLnhtbFBLAQItABQABgAIAAAAIQA4/SH/1gAAAJQBAAALAAAAAAAAAAAAAAAA&#10;AC8BAABfcmVscy8ucmVsc1BLAQItABQABgAIAAAAIQAw6/VqyAEAAMsDAAAOAAAAAAAAAAAAAAAA&#10;AC4CAABkcnMvZTJvRG9jLnhtbFBLAQItABQABgAIAAAAIQArPCb62AAAAAQBAAAPAAAAAAAAAAAA&#10;AAAAACI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This pleading is being filed and noticed pursuant to M.D. AL L.B.R. 9007-1 procedures for:</w:t>
      </w: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85551" w:rsidRDefault="00085551" w:rsidP="00085551">
      <w:pPr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  </w:t>
      </w:r>
    </w:p>
    <w:p w:rsidR="00160E7B" w:rsidRPr="00D23A87" w:rsidRDefault="00085551" w:rsidP="00D23A87">
      <w:pPr>
        <w:jc w:val="center"/>
        <w:rPr>
          <w:u w:val="single"/>
        </w:rPr>
      </w:pPr>
      <w:r w:rsidRPr="00D23A87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MOTION/NOTICE</w:t>
      </w:r>
    </w:p>
    <w:sectPr w:rsidR="00160E7B" w:rsidRPr="00D2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51"/>
    <w:rsid w:val="00067748"/>
    <w:rsid w:val="00085551"/>
    <w:rsid w:val="00160E7B"/>
    <w:rsid w:val="007F1208"/>
    <w:rsid w:val="00A0021F"/>
    <w:rsid w:val="00D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4FB74-C3BF-4C0B-84BD-AA12BF91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LeMay</dc:creator>
  <cp:keywords/>
  <dc:description/>
  <cp:lastModifiedBy>Scooter LeMay</cp:lastModifiedBy>
  <cp:revision>2</cp:revision>
  <dcterms:created xsi:type="dcterms:W3CDTF">2014-07-10T21:14:00Z</dcterms:created>
  <dcterms:modified xsi:type="dcterms:W3CDTF">2014-07-10T21:14:00Z</dcterms:modified>
</cp:coreProperties>
</file>